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4B0D9" w14:textId="77777777" w:rsidR="0032716B" w:rsidRPr="00893421" w:rsidRDefault="0032716B" w:rsidP="0032716B">
      <w:pPr>
        <w:spacing w:line="60" w:lineRule="auto"/>
        <w:jc w:val="center"/>
        <w:rPr>
          <w:rFonts w:ascii="標楷體" w:eastAsia="標楷體" w:hAnsi="標楷體"/>
          <w:noProof/>
          <w:sz w:val="96"/>
          <w:szCs w:val="96"/>
        </w:rPr>
      </w:pPr>
      <w:bookmarkStart w:id="0" w:name="_Toc478600667"/>
      <w:bookmarkStart w:id="1" w:name="_Toc479614829"/>
      <w:bookmarkStart w:id="2" w:name="_Toc479795378"/>
      <w:r>
        <w:rPr>
          <w:rFonts w:ascii="標楷體" w:eastAsia="標楷體" w:hAnsi="標楷體" w:hint="eastAsia"/>
          <w:noProof/>
          <w:sz w:val="96"/>
          <w:szCs w:val="96"/>
        </w:rPr>
        <w:t>110</w:t>
      </w:r>
      <w:r w:rsidRPr="00893421">
        <w:rPr>
          <w:rFonts w:ascii="標楷體" w:eastAsia="標楷體" w:hAnsi="標楷體" w:hint="eastAsia"/>
          <w:noProof/>
          <w:sz w:val="96"/>
          <w:szCs w:val="96"/>
        </w:rPr>
        <w:t>年</w:t>
      </w:r>
    </w:p>
    <w:p w14:paraId="181143BC" w14:textId="77777777" w:rsidR="0032716B" w:rsidRDefault="0032716B" w:rsidP="0032716B">
      <w:pPr>
        <w:spacing w:line="60" w:lineRule="auto"/>
        <w:jc w:val="center"/>
        <w:rPr>
          <w:rFonts w:ascii="標楷體" w:eastAsia="標楷體" w:hAnsi="標楷體"/>
          <w:noProof/>
          <w:sz w:val="96"/>
          <w:szCs w:val="96"/>
        </w:rPr>
      </w:pPr>
      <w:r w:rsidRPr="00893421">
        <w:rPr>
          <w:rFonts w:ascii="標楷體" w:eastAsia="標楷體" w:hAnsi="標楷體" w:hint="eastAsia"/>
          <w:noProof/>
          <w:sz w:val="96"/>
          <w:szCs w:val="96"/>
        </w:rPr>
        <w:t>全國中等學校運動會</w:t>
      </w:r>
    </w:p>
    <w:p w14:paraId="69604109" w14:textId="77777777" w:rsidR="0032716B" w:rsidRPr="00893421" w:rsidRDefault="0032716B" w:rsidP="0032716B">
      <w:pPr>
        <w:spacing w:line="60" w:lineRule="auto"/>
        <w:jc w:val="center"/>
        <w:rPr>
          <w:rFonts w:ascii="標楷體" w:eastAsia="標楷體" w:hAnsi="標楷體"/>
          <w:noProof/>
          <w:sz w:val="96"/>
          <w:szCs w:val="96"/>
        </w:rPr>
      </w:pPr>
    </w:p>
    <w:p w14:paraId="2CABE9E3" w14:textId="77777777" w:rsidR="0032716B" w:rsidRDefault="0032716B" w:rsidP="0032716B">
      <w:pPr>
        <w:spacing w:line="60" w:lineRule="auto"/>
        <w:jc w:val="center"/>
        <w:rPr>
          <w:rFonts w:ascii="標楷體" w:eastAsia="標楷體" w:hAnsi="標楷體"/>
          <w:b/>
          <w:sz w:val="96"/>
          <w:szCs w:val="96"/>
        </w:rPr>
      </w:pPr>
      <w:r w:rsidRPr="00893421">
        <w:rPr>
          <w:rFonts w:ascii="標楷體" w:eastAsia="標楷體" w:hAnsi="標楷體" w:hint="eastAsia"/>
          <w:b/>
          <w:sz w:val="96"/>
          <w:szCs w:val="96"/>
        </w:rPr>
        <w:t>運動防護組</w:t>
      </w:r>
    </w:p>
    <w:p w14:paraId="5A38675B" w14:textId="77777777" w:rsidR="0032716B" w:rsidRDefault="0032716B" w:rsidP="0032716B">
      <w:pPr>
        <w:spacing w:line="60" w:lineRule="auto"/>
        <w:jc w:val="center"/>
        <w:rPr>
          <w:rFonts w:ascii="標楷體" w:eastAsia="標楷體" w:hAnsi="標楷體"/>
          <w:noProof/>
          <w:sz w:val="48"/>
          <w:szCs w:val="48"/>
        </w:rPr>
      </w:pPr>
      <w:r w:rsidRPr="00893421">
        <w:rPr>
          <w:rFonts w:ascii="標楷體" w:eastAsia="標楷體" w:hAnsi="標楷體" w:hint="eastAsia"/>
          <w:b/>
          <w:sz w:val="96"/>
          <w:szCs w:val="96"/>
        </w:rPr>
        <w:t>工作</w:t>
      </w:r>
      <w:r>
        <w:rPr>
          <w:rFonts w:ascii="標楷體" w:eastAsia="標楷體" w:hAnsi="標楷體" w:hint="eastAsia"/>
          <w:b/>
          <w:sz w:val="96"/>
          <w:szCs w:val="96"/>
        </w:rPr>
        <w:t>須知</w:t>
      </w:r>
    </w:p>
    <w:p w14:paraId="40E1E93F" w14:textId="77777777" w:rsidR="0032716B" w:rsidRDefault="0032716B" w:rsidP="0032716B">
      <w:pPr>
        <w:spacing w:line="60" w:lineRule="auto"/>
        <w:jc w:val="center"/>
        <w:rPr>
          <w:rFonts w:ascii="標楷體" w:eastAsia="標楷體" w:hAnsi="標楷體"/>
          <w:noProof/>
          <w:sz w:val="48"/>
          <w:szCs w:val="48"/>
        </w:rPr>
      </w:pPr>
    </w:p>
    <w:p w14:paraId="35BDF1E6" w14:textId="77777777" w:rsidR="0032716B" w:rsidRDefault="0032716B" w:rsidP="0032716B">
      <w:pPr>
        <w:spacing w:line="60" w:lineRule="auto"/>
        <w:jc w:val="center"/>
        <w:rPr>
          <w:rFonts w:ascii="標楷體" w:eastAsia="標楷體" w:hAnsi="標楷體"/>
          <w:noProof/>
          <w:sz w:val="48"/>
          <w:szCs w:val="48"/>
        </w:rPr>
      </w:pPr>
    </w:p>
    <w:p w14:paraId="52F5E07E" w14:textId="77777777" w:rsidR="0032716B" w:rsidRDefault="0032716B" w:rsidP="0032716B">
      <w:pPr>
        <w:spacing w:line="60" w:lineRule="auto"/>
        <w:jc w:val="center"/>
        <w:rPr>
          <w:rFonts w:ascii="標楷體" w:eastAsia="標楷體" w:hAnsi="標楷體"/>
          <w:noProof/>
          <w:sz w:val="48"/>
          <w:szCs w:val="48"/>
        </w:rPr>
      </w:pPr>
    </w:p>
    <w:p w14:paraId="3DB216BE" w14:textId="77777777" w:rsidR="0032716B" w:rsidRDefault="0032716B" w:rsidP="0032716B">
      <w:pPr>
        <w:spacing w:line="60" w:lineRule="auto"/>
        <w:jc w:val="center"/>
        <w:rPr>
          <w:rFonts w:ascii="標楷體" w:eastAsia="標楷體" w:hAnsi="標楷體"/>
          <w:noProof/>
          <w:sz w:val="48"/>
          <w:szCs w:val="48"/>
        </w:rPr>
      </w:pPr>
    </w:p>
    <w:p w14:paraId="741F501C" w14:textId="77777777" w:rsidR="0032716B" w:rsidRDefault="0032716B" w:rsidP="0032716B">
      <w:pPr>
        <w:spacing w:line="60" w:lineRule="auto"/>
        <w:jc w:val="center"/>
        <w:rPr>
          <w:rFonts w:ascii="標楷體" w:eastAsia="標楷體" w:hAnsi="標楷體"/>
          <w:noProof/>
          <w:sz w:val="48"/>
          <w:szCs w:val="48"/>
        </w:rPr>
      </w:pPr>
    </w:p>
    <w:p w14:paraId="7051413F" w14:textId="77777777" w:rsidR="0032716B" w:rsidRPr="005B3BAD" w:rsidRDefault="0032716B" w:rsidP="0032716B">
      <w:pPr>
        <w:spacing w:line="60" w:lineRule="auto"/>
        <w:rPr>
          <w:rFonts w:ascii="標楷體" w:eastAsia="標楷體" w:hAnsi="標楷體"/>
          <w:noProof/>
          <w:sz w:val="44"/>
          <w:szCs w:val="48"/>
        </w:rPr>
      </w:pPr>
      <w:r w:rsidRPr="005B3BAD">
        <w:rPr>
          <w:rFonts w:ascii="標楷體" w:eastAsia="標楷體" w:hAnsi="標楷體" w:hint="eastAsia"/>
          <w:noProof/>
          <w:sz w:val="44"/>
          <w:szCs w:val="48"/>
        </w:rPr>
        <w:t>主辦單位：</w:t>
      </w:r>
      <w:r>
        <w:rPr>
          <w:rFonts w:ascii="標楷體" w:eastAsia="標楷體" w:hAnsi="標楷體" w:hint="eastAsia"/>
          <w:noProof/>
          <w:sz w:val="44"/>
          <w:szCs w:val="48"/>
        </w:rPr>
        <w:t>雲林縣</w:t>
      </w:r>
      <w:r w:rsidRPr="005B3BAD">
        <w:rPr>
          <w:rFonts w:ascii="標楷體" w:eastAsia="標楷體" w:hAnsi="標楷體" w:hint="eastAsia"/>
          <w:noProof/>
          <w:sz w:val="44"/>
          <w:szCs w:val="48"/>
        </w:rPr>
        <w:t>政府</w:t>
      </w:r>
    </w:p>
    <w:p w14:paraId="7841107C" w14:textId="77777777" w:rsidR="0032716B" w:rsidRDefault="0032716B" w:rsidP="0032716B">
      <w:pPr>
        <w:spacing w:line="60" w:lineRule="auto"/>
        <w:rPr>
          <w:rFonts w:ascii="標楷體" w:eastAsia="標楷體" w:hAnsi="標楷體"/>
          <w:noProof/>
          <w:sz w:val="44"/>
          <w:szCs w:val="48"/>
        </w:rPr>
      </w:pPr>
      <w:r w:rsidRPr="005B3BAD">
        <w:rPr>
          <w:rFonts w:ascii="標楷體" w:eastAsia="標楷體" w:hAnsi="標楷體" w:hint="eastAsia"/>
          <w:noProof/>
          <w:sz w:val="44"/>
          <w:szCs w:val="48"/>
        </w:rPr>
        <w:t>委辦單位：國立臺灣體育運動大學運動健康科學學系</w:t>
      </w:r>
    </w:p>
    <w:p w14:paraId="732255F6" w14:textId="77777777" w:rsidR="0032716B" w:rsidRPr="005B3BAD" w:rsidRDefault="0032716B" w:rsidP="0032716B">
      <w:pPr>
        <w:spacing w:line="60" w:lineRule="auto"/>
        <w:rPr>
          <w:rFonts w:ascii="標楷體" w:eastAsia="標楷體" w:hAnsi="標楷體"/>
          <w:noProof/>
          <w:sz w:val="44"/>
          <w:szCs w:val="48"/>
        </w:rPr>
      </w:pPr>
    </w:p>
    <w:p w14:paraId="0748B462" w14:textId="77777777" w:rsidR="0032716B" w:rsidRDefault="0032716B" w:rsidP="0032716B">
      <w:pPr>
        <w:jc w:val="center"/>
        <w:rPr>
          <w:rStyle w:val="a6"/>
          <w:rFonts w:ascii="標楷體" w:eastAsia="標楷體" w:hAnsi="標楷體"/>
          <w:sz w:val="56"/>
          <w:highlight w:val="yellow"/>
        </w:rPr>
      </w:pPr>
      <w:bookmarkStart w:id="3" w:name="_Toc485906553"/>
      <w:bookmarkStart w:id="4" w:name="_Toc485918415"/>
      <w:bookmarkStart w:id="5" w:name="_Hlk56112117"/>
      <w:bookmarkStart w:id="6" w:name="_Toc56122066"/>
    </w:p>
    <w:p w14:paraId="0B3CCA61" w14:textId="77777777" w:rsidR="0032716B" w:rsidRDefault="0032716B" w:rsidP="0032716B">
      <w:pPr>
        <w:jc w:val="center"/>
        <w:rPr>
          <w:rStyle w:val="a6"/>
          <w:rFonts w:ascii="標楷體" w:eastAsia="標楷體" w:hAnsi="標楷體"/>
          <w:sz w:val="56"/>
          <w:highlight w:val="yellow"/>
        </w:rPr>
      </w:pPr>
    </w:p>
    <w:p w14:paraId="1796D756" w14:textId="42A06631" w:rsidR="004A55B7" w:rsidRPr="00D51412" w:rsidRDefault="004A55B7" w:rsidP="004A55B7">
      <w:pPr>
        <w:jc w:val="center"/>
        <w:rPr>
          <w:rFonts w:ascii="標楷體" w:eastAsia="標楷體" w:hAnsi="標楷體"/>
          <w:b/>
          <w:sz w:val="32"/>
        </w:rPr>
      </w:pPr>
      <w:bookmarkStart w:id="7" w:name="_Toc485918416"/>
      <w:bookmarkEnd w:id="0"/>
      <w:bookmarkEnd w:id="1"/>
      <w:bookmarkEnd w:id="2"/>
      <w:bookmarkEnd w:id="3"/>
      <w:bookmarkEnd w:id="4"/>
      <w:bookmarkEnd w:id="5"/>
      <w:bookmarkEnd w:id="6"/>
      <w:r w:rsidRPr="00BF0CCF">
        <w:rPr>
          <w:rStyle w:val="a6"/>
          <w:rFonts w:ascii="標楷體" w:eastAsia="標楷體" w:hAnsi="標楷體" w:hint="eastAsia"/>
          <w:sz w:val="56"/>
        </w:rPr>
        <w:lastRenderedPageBreak/>
        <w:t>110年全中運場地救護流程</w:t>
      </w:r>
    </w:p>
    <w:p w14:paraId="362C9640" w14:textId="10CFB851" w:rsidR="0032716B" w:rsidRPr="004A55B7" w:rsidRDefault="0032716B" w:rsidP="0032716B">
      <w:pPr>
        <w:jc w:val="center"/>
        <w:rPr>
          <w:rFonts w:ascii="標楷體" w:eastAsia="標楷體" w:hAnsi="標楷體"/>
          <w:b/>
          <w:sz w:val="32"/>
        </w:rPr>
      </w:pPr>
    </w:p>
    <w:bookmarkStart w:id="8" w:name="_Hlk66702276"/>
    <w:p w14:paraId="678CD2C4" w14:textId="35144E57" w:rsidR="0032716B" w:rsidRPr="00311CA0" w:rsidRDefault="004A55B7" w:rsidP="0032716B">
      <w:pPr>
        <w:autoSpaceDE w:val="0"/>
        <w:autoSpaceDN w:val="0"/>
        <w:adjustRightInd w:val="0"/>
        <w:spacing w:line="287" w:lineRule="auto"/>
        <w:jc w:val="center"/>
      </w:pPr>
      <w:r>
        <w:rPr>
          <w:noProof/>
        </w:rPr>
        <w:object w:dxaOrig="10390" w:dyaOrig="15660" w14:anchorId="4D53BA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alt="" style="width:437.35pt;height:601.25pt;mso-width-percent:0;mso-height-percent:0;mso-width-percent:0;mso-height-percent:0" o:ole="">
            <v:imagedata r:id="rId7" o:title="" cropbottom="-6373f" cropright="-4410f"/>
          </v:shape>
          <o:OLEObject Type="Embed" ProgID="Visio.Drawing.15" ShapeID="_x0000_i1066" DrawAspect="Content" ObjectID="_1679558240" r:id="rId8"/>
        </w:object>
      </w:r>
      <w:bookmarkEnd w:id="8"/>
    </w:p>
    <w:p w14:paraId="18172F60" w14:textId="172C49A5" w:rsidR="004A55B7" w:rsidRDefault="004A55B7" w:rsidP="0032716B">
      <w:pPr>
        <w:ind w:leftChars="-177" w:left="-425" w:rightChars="-127" w:right="-305"/>
        <w:jc w:val="center"/>
        <w:rPr>
          <w:rFonts w:ascii="標楷體" w:eastAsia="標楷體" w:hAnsi="標楷體" w:cs="新細明體" w:hint="eastAsia"/>
          <w:color w:val="000000"/>
          <w:kern w:val="0"/>
          <w:szCs w:val="26"/>
          <w:u w:val="single"/>
        </w:rPr>
      </w:pPr>
      <w:bookmarkStart w:id="9" w:name="_Hlk56112298"/>
      <w:r w:rsidRPr="006D182F">
        <w:rPr>
          <w:rFonts w:ascii="標楷體" w:eastAsia="標楷體" w:hAnsi="標楷體" w:cs="新細明體" w:hint="eastAsia"/>
          <w:color w:val="000000"/>
          <w:kern w:val="0"/>
          <w:szCs w:val="26"/>
          <w:u w:val="single"/>
        </w:rPr>
        <w:t>※備註一：拳擊、柔道、跆拳道、空手道、角力一律由大會醫師做場上評估，大會防護員從旁協助。</w:t>
      </w:r>
    </w:p>
    <w:p w14:paraId="3130E643" w14:textId="77777777" w:rsidR="0032716B" w:rsidRPr="004A4B7C" w:rsidRDefault="0032716B" w:rsidP="0032716B">
      <w:pPr>
        <w:pStyle w:val="a5"/>
        <w:ind w:left="567" w:rightChars="-59" w:right="-142"/>
        <w:jc w:val="left"/>
        <w:rPr>
          <w:rFonts w:ascii="標楷體" w:eastAsia="標楷體" w:hAnsi="標楷體"/>
          <w:sz w:val="96"/>
          <w:szCs w:val="36"/>
        </w:rPr>
      </w:pPr>
      <w:bookmarkStart w:id="10" w:name="_Toc56122067"/>
      <w:bookmarkEnd w:id="9"/>
      <w:r w:rsidRPr="004A4B7C">
        <w:rPr>
          <w:rFonts w:ascii="標楷體" w:eastAsia="標楷體" w:hAnsi="標楷體" w:hint="eastAsia"/>
          <w:sz w:val="56"/>
        </w:rPr>
        <w:lastRenderedPageBreak/>
        <w:t>1</w:t>
      </w:r>
      <w:r>
        <w:rPr>
          <w:rFonts w:ascii="標楷體" w:eastAsia="標楷體" w:hAnsi="標楷體" w:hint="eastAsia"/>
          <w:sz w:val="56"/>
        </w:rPr>
        <w:t>10</w:t>
      </w:r>
      <w:r w:rsidRPr="004A4B7C">
        <w:rPr>
          <w:rFonts w:ascii="標楷體" w:eastAsia="標楷體" w:hAnsi="標楷體" w:hint="eastAsia"/>
          <w:sz w:val="56"/>
        </w:rPr>
        <w:t>年 全國中等學校運動會通報流程</w:t>
      </w:r>
      <w:bookmarkEnd w:id="10"/>
    </w:p>
    <w:p w14:paraId="3BFE7267" w14:textId="77777777" w:rsidR="0032716B" w:rsidRPr="004A4B7C" w:rsidRDefault="0032716B" w:rsidP="0032716B">
      <w:pPr>
        <w:pStyle w:val="a3"/>
        <w:numPr>
          <w:ilvl w:val="0"/>
          <w:numId w:val="1"/>
        </w:numPr>
        <w:spacing w:line="400" w:lineRule="exact"/>
        <w:ind w:leftChars="0" w:left="567" w:rightChars="-59" w:right="-142"/>
        <w:rPr>
          <w:rFonts w:ascii="標楷體" w:eastAsia="標楷體" w:hAnsi="標楷體"/>
          <w:color w:val="FF0000"/>
          <w:sz w:val="28"/>
          <w:szCs w:val="28"/>
        </w:rPr>
      </w:pPr>
      <w:r w:rsidRPr="004A4B7C">
        <w:rPr>
          <w:rFonts w:ascii="標楷體" w:eastAsia="標楷體" w:hAnsi="標楷體" w:hint="eastAsia"/>
          <w:sz w:val="28"/>
          <w:szCs w:val="28"/>
        </w:rPr>
        <w:t>各競賽場地醫務組，遇有重大意外時，除立即處理外，並應依下列程序通報。</w:t>
      </w:r>
    </w:p>
    <w:p w14:paraId="2B77BFFF" w14:textId="17D3A2D5" w:rsidR="0032716B" w:rsidRPr="0085171B" w:rsidRDefault="004A55B7" w:rsidP="0032716B">
      <w:pPr>
        <w:ind w:rightChars="-59" w:right="-142"/>
        <w:jc w:val="center"/>
        <w:rPr>
          <w:rFonts w:ascii="標楷體" w:eastAsia="標楷體" w:hAnsi="標楷體"/>
        </w:rPr>
      </w:pPr>
      <w:r>
        <w:rPr>
          <w:noProof/>
        </w:rPr>
        <w:object w:dxaOrig="9830" w:dyaOrig="9940" w14:anchorId="73BF9568">
          <v:shape id="_x0000_i1069" type="#_x0000_t75" alt="" style="width:430.95pt;height:497.55pt;mso-width-percent:0;mso-height-percent:0;mso-width-percent:0;mso-height-percent:0" o:ole="">
            <v:imagedata r:id="rId9" o:title="" cropbottom="-4206f" cropright="-7838f"/>
          </v:shape>
          <o:OLEObject Type="Embed" ProgID="Visio.Drawing.15" ShapeID="_x0000_i1069" DrawAspect="Content" ObjectID="_1679558241" r:id="rId10"/>
        </w:object>
      </w:r>
    </w:p>
    <w:p w14:paraId="2C0D66AA" w14:textId="77777777" w:rsidR="0032716B" w:rsidRPr="004A4B7C" w:rsidRDefault="0032716B" w:rsidP="0032716B">
      <w:pPr>
        <w:pStyle w:val="a3"/>
        <w:numPr>
          <w:ilvl w:val="0"/>
          <w:numId w:val="1"/>
        </w:numPr>
        <w:spacing w:line="400" w:lineRule="exact"/>
        <w:ind w:leftChars="0" w:left="567" w:rightChars="-59" w:right="-142"/>
        <w:rPr>
          <w:rFonts w:ascii="標楷體" w:eastAsia="標楷體" w:hAnsi="標楷體"/>
          <w:sz w:val="28"/>
          <w:szCs w:val="28"/>
        </w:rPr>
      </w:pPr>
      <w:r w:rsidRPr="004A4B7C">
        <w:rPr>
          <w:rFonts w:ascii="標楷體" w:eastAsia="標楷體" w:hAnsi="標楷體" w:hint="eastAsia"/>
          <w:sz w:val="28"/>
          <w:szCs w:val="28"/>
        </w:rPr>
        <w:t>注意事項</w:t>
      </w:r>
    </w:p>
    <w:p w14:paraId="1928571C" w14:textId="77777777" w:rsidR="0032716B" w:rsidRPr="004A4B7C" w:rsidRDefault="0032716B" w:rsidP="0032716B">
      <w:pPr>
        <w:pStyle w:val="a3"/>
        <w:spacing w:line="400" w:lineRule="exact"/>
        <w:ind w:leftChars="236" w:left="992" w:rightChars="-59" w:right="-142" w:hangingChars="152" w:hanging="426"/>
        <w:rPr>
          <w:rFonts w:ascii="標楷體" w:eastAsia="標楷體" w:hAnsi="標楷體"/>
          <w:sz w:val="28"/>
          <w:szCs w:val="28"/>
        </w:rPr>
      </w:pPr>
      <w:r w:rsidRPr="004A4B7C">
        <w:rPr>
          <w:rFonts w:ascii="標楷體" w:eastAsia="標楷體" w:hAnsi="標楷體" w:hint="eastAsia"/>
          <w:sz w:val="28"/>
          <w:szCs w:val="28"/>
        </w:rPr>
        <w:t>1. 防護組人員需於開賽前抵達比賽場地進行賽前整備，並向大會行政組報到，比賽結束時亦同，簽到、簽退由防護員小組長協助執行。</w:t>
      </w:r>
    </w:p>
    <w:p w14:paraId="3BA28E5C" w14:textId="77777777" w:rsidR="0032716B" w:rsidRPr="004A4B7C" w:rsidRDefault="0032716B" w:rsidP="0032716B">
      <w:pPr>
        <w:pStyle w:val="a3"/>
        <w:spacing w:line="400" w:lineRule="exact"/>
        <w:ind w:leftChars="236" w:left="992" w:rightChars="-59" w:right="-142" w:hangingChars="152" w:hanging="426"/>
        <w:rPr>
          <w:rFonts w:ascii="標楷體" w:eastAsia="標楷體" w:hAnsi="標楷體"/>
          <w:sz w:val="28"/>
          <w:szCs w:val="28"/>
        </w:rPr>
      </w:pPr>
      <w:r w:rsidRPr="004A4B7C">
        <w:rPr>
          <w:rFonts w:ascii="標楷體" w:eastAsia="標楷體" w:hAnsi="標楷體" w:hint="eastAsia"/>
          <w:sz w:val="28"/>
          <w:szCs w:val="28"/>
        </w:rPr>
        <w:t>2. 比賽開始期間，防護組人員嚴禁擅自離開比賽場地。</w:t>
      </w:r>
    </w:p>
    <w:p w14:paraId="663C3A4F" w14:textId="77777777" w:rsidR="0032716B" w:rsidRPr="004A4B7C" w:rsidRDefault="0032716B" w:rsidP="0032716B">
      <w:pPr>
        <w:pStyle w:val="a3"/>
        <w:spacing w:line="400" w:lineRule="exact"/>
        <w:ind w:leftChars="236" w:left="992" w:rightChars="-59" w:right="-142" w:hangingChars="152" w:hanging="426"/>
        <w:rPr>
          <w:rFonts w:ascii="標楷體" w:eastAsia="標楷體" w:hAnsi="標楷體"/>
          <w:sz w:val="28"/>
          <w:szCs w:val="28"/>
        </w:rPr>
      </w:pPr>
      <w:r w:rsidRPr="004A4B7C">
        <w:rPr>
          <w:rFonts w:ascii="標楷體" w:eastAsia="標楷體" w:hAnsi="標楷體" w:hint="eastAsia"/>
          <w:sz w:val="28"/>
          <w:szCs w:val="28"/>
        </w:rPr>
        <w:t>3. 比賽期間，參賽選手發生重大意外需後送醫院，需向防護組技術委員報告，並由技術委員、藥檢組組長與主治醫師協商討論用藥，以免觸犯禁藥規定。</w:t>
      </w:r>
    </w:p>
    <w:p w14:paraId="2F95CF34" w14:textId="31543282" w:rsidR="0032716B" w:rsidRPr="0085171B" w:rsidRDefault="0032716B" w:rsidP="0032716B">
      <w:pPr>
        <w:pStyle w:val="a3"/>
        <w:spacing w:line="400" w:lineRule="exact"/>
        <w:ind w:leftChars="236" w:left="992" w:rightChars="-59" w:right="-142" w:hangingChars="152" w:hanging="426"/>
        <w:rPr>
          <w:rFonts w:ascii="標楷體" w:eastAsia="標楷體" w:hAnsi="標楷體"/>
          <w:sz w:val="28"/>
          <w:szCs w:val="28"/>
        </w:rPr>
      </w:pPr>
      <w:r w:rsidRPr="004A4B7C">
        <w:rPr>
          <w:rFonts w:ascii="標楷體" w:eastAsia="標楷體" w:hAnsi="標楷體" w:hint="eastAsia"/>
          <w:sz w:val="28"/>
          <w:szCs w:val="28"/>
        </w:rPr>
        <w:t>4. 舉凡進入防護組尋求協助者、不論參賽選手或觀賽民眾，均需填寫後送統計表與傷害記錄本，</w:t>
      </w:r>
      <w:r w:rsidR="004A55B7" w:rsidRPr="004A55B7">
        <w:rPr>
          <w:rFonts w:ascii="標楷體" w:eastAsia="標楷體" w:hAnsi="標楷體" w:hint="eastAsia"/>
          <w:sz w:val="28"/>
          <w:szCs w:val="28"/>
        </w:rPr>
        <w:t>記錄本由防護員登錄簽署</w:t>
      </w:r>
      <w:r w:rsidRPr="004A4B7C">
        <w:rPr>
          <w:rFonts w:ascii="標楷體" w:eastAsia="標楷體" w:hAnsi="標楷體" w:hint="eastAsia"/>
          <w:sz w:val="28"/>
          <w:szCs w:val="28"/>
        </w:rPr>
        <w:t>。</w:t>
      </w:r>
    </w:p>
    <w:p w14:paraId="213AC3F3" w14:textId="77777777" w:rsidR="0032716B" w:rsidRPr="00FF7EB9" w:rsidRDefault="0032716B" w:rsidP="0032716B">
      <w:pPr>
        <w:widowControl/>
        <w:sectPr w:rsidR="0032716B" w:rsidRPr="00FF7EB9" w:rsidSect="00575F4E">
          <w:footerReference w:type="default" r:id="rId11"/>
          <w:pgSz w:w="11906" w:h="16838"/>
          <w:pgMar w:top="720" w:right="707" w:bottom="720" w:left="709" w:header="851" w:footer="567" w:gutter="0"/>
          <w:cols w:space="425"/>
          <w:docGrid w:type="lines" w:linePitch="360"/>
        </w:sectPr>
      </w:pPr>
    </w:p>
    <w:p w14:paraId="667C14BF" w14:textId="77777777" w:rsidR="0032716B" w:rsidRPr="004A4B7C" w:rsidRDefault="0032716B" w:rsidP="0032716B">
      <w:pPr>
        <w:jc w:val="center"/>
        <w:rPr>
          <w:rStyle w:val="a6"/>
          <w:rFonts w:ascii="標楷體" w:eastAsia="標楷體" w:hAnsi="標楷體"/>
          <w:sz w:val="56"/>
        </w:rPr>
      </w:pPr>
      <w:bookmarkStart w:id="11" w:name="_Toc56122070"/>
      <w:bookmarkEnd w:id="7"/>
      <w:r w:rsidRPr="004A4B7C">
        <w:rPr>
          <w:rStyle w:val="a6"/>
          <w:rFonts w:ascii="標楷體" w:eastAsia="標楷體" w:hAnsi="標楷體" w:hint="eastAsia"/>
          <w:sz w:val="56"/>
        </w:rPr>
        <w:lastRenderedPageBreak/>
        <w:t>1</w:t>
      </w:r>
      <w:r>
        <w:rPr>
          <w:rStyle w:val="a6"/>
          <w:rFonts w:ascii="標楷體" w:eastAsia="標楷體" w:hAnsi="標楷體" w:hint="eastAsia"/>
          <w:sz w:val="56"/>
        </w:rPr>
        <w:t>10</w:t>
      </w:r>
      <w:r w:rsidRPr="004A4B7C">
        <w:rPr>
          <w:rStyle w:val="a6"/>
          <w:rFonts w:ascii="標楷體" w:eastAsia="標楷體" w:hAnsi="標楷體" w:hint="eastAsia"/>
          <w:sz w:val="56"/>
        </w:rPr>
        <w:t>年全中運各場地規劃與規範</w:t>
      </w:r>
      <w:bookmarkEnd w:id="11"/>
    </w:p>
    <w:p w14:paraId="4134CA90" w14:textId="77777777" w:rsidR="0032716B" w:rsidRPr="004A4B7C" w:rsidRDefault="0032716B" w:rsidP="0032716B">
      <w:pPr>
        <w:pStyle w:val="a3"/>
        <w:widowControl/>
        <w:numPr>
          <w:ilvl w:val="0"/>
          <w:numId w:val="2"/>
        </w:numPr>
        <w:ind w:leftChars="0" w:left="567" w:rightChars="-59" w:right="-142"/>
        <w:rPr>
          <w:rFonts w:ascii="標楷體" w:eastAsia="標楷體" w:hAnsi="標楷體"/>
          <w:sz w:val="28"/>
        </w:rPr>
      </w:pPr>
      <w:r w:rsidRPr="004A4B7C">
        <w:rPr>
          <w:rFonts w:ascii="標楷體" w:eastAsia="標楷體" w:hAnsi="標楷體" w:hint="eastAsia"/>
          <w:sz w:val="28"/>
        </w:rPr>
        <w:t>一般項目運動防護安全規範：</w:t>
      </w:r>
    </w:p>
    <w:p w14:paraId="214BD4B9" w14:textId="77777777" w:rsidR="0032716B" w:rsidRPr="004A4B7C" w:rsidRDefault="0032716B" w:rsidP="0032716B">
      <w:pPr>
        <w:pStyle w:val="a3"/>
        <w:widowControl/>
        <w:numPr>
          <w:ilvl w:val="1"/>
          <w:numId w:val="2"/>
        </w:numPr>
        <w:spacing w:line="500" w:lineRule="exact"/>
        <w:ind w:leftChars="0" w:left="567" w:rightChars="-59" w:right="-142" w:hanging="357"/>
        <w:rPr>
          <w:rFonts w:ascii="標楷體" w:eastAsia="標楷體" w:hAnsi="標楷體"/>
          <w:sz w:val="28"/>
        </w:rPr>
      </w:pPr>
      <w:r w:rsidRPr="004A4B7C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10</w:t>
      </w:r>
      <w:r w:rsidRPr="004A4B7C">
        <w:rPr>
          <w:rFonts w:ascii="標楷體" w:eastAsia="標楷體" w:hAnsi="標楷體" w:hint="eastAsia"/>
          <w:sz w:val="28"/>
        </w:rPr>
        <w:t>年全中運比賽期間內，除大會工作人員、大會運動防護員、隨隊運動防護員(包含：體育署聘運動防護員、</w:t>
      </w:r>
      <w:r w:rsidRPr="00D756C5">
        <w:rPr>
          <w:rFonts w:ascii="標楷體" w:eastAsia="標楷體" w:hAnsi="標楷體" w:hint="eastAsia"/>
          <w:sz w:val="28"/>
        </w:rPr>
        <w:t>各縣市運動防護團隊</w:t>
      </w:r>
      <w:r w:rsidRPr="004A4B7C">
        <w:rPr>
          <w:rFonts w:ascii="標楷體" w:eastAsia="標楷體" w:hAnsi="標楷體" w:hint="eastAsia"/>
          <w:sz w:val="28"/>
        </w:rPr>
        <w:t>或事先通報大會運動防護組之隨隊運動防護員)與其他持有大會工作證、教練證者外，其餘人員不得擅自進入比賽場地內。</w:t>
      </w:r>
    </w:p>
    <w:p w14:paraId="752C91F3" w14:textId="77777777" w:rsidR="0032716B" w:rsidRPr="004A4B7C" w:rsidRDefault="0032716B" w:rsidP="0032716B">
      <w:pPr>
        <w:pStyle w:val="a3"/>
        <w:widowControl/>
        <w:numPr>
          <w:ilvl w:val="1"/>
          <w:numId w:val="2"/>
        </w:numPr>
        <w:spacing w:line="500" w:lineRule="exact"/>
        <w:ind w:leftChars="0" w:left="567" w:rightChars="-59" w:right="-142" w:hanging="357"/>
        <w:rPr>
          <w:rFonts w:ascii="標楷體" w:eastAsia="標楷體" w:hAnsi="標楷體"/>
          <w:sz w:val="28"/>
        </w:rPr>
      </w:pPr>
      <w:r w:rsidRPr="004A4B7C">
        <w:rPr>
          <w:rFonts w:ascii="標楷體" w:eastAsia="標楷體" w:hAnsi="標楷體" w:hint="eastAsia"/>
          <w:sz w:val="28"/>
        </w:rPr>
        <w:t>當運動選手在運動場上發生運動傷害或緊急傷害時，自大會裁判裁決比賽暫停後，執行以下事項：</w:t>
      </w:r>
    </w:p>
    <w:p w14:paraId="49E801D3" w14:textId="77777777" w:rsidR="0032716B" w:rsidRPr="004A4B7C" w:rsidRDefault="0032716B" w:rsidP="0032716B">
      <w:pPr>
        <w:pStyle w:val="a3"/>
        <w:widowControl/>
        <w:numPr>
          <w:ilvl w:val="3"/>
          <w:numId w:val="2"/>
        </w:numPr>
        <w:spacing w:line="500" w:lineRule="exact"/>
        <w:ind w:leftChars="0" w:rightChars="-59" w:right="-142"/>
        <w:rPr>
          <w:rFonts w:ascii="標楷體" w:eastAsia="標楷體" w:hAnsi="標楷體"/>
          <w:sz w:val="28"/>
        </w:rPr>
      </w:pPr>
      <w:r w:rsidRPr="004A4B7C">
        <w:rPr>
          <w:rFonts w:ascii="標楷體" w:eastAsia="標楷體" w:hAnsi="標楷體" w:hint="eastAsia"/>
          <w:sz w:val="28"/>
        </w:rPr>
        <w:t>該隊伍中有署聘運動防護員者：</w:t>
      </w:r>
      <w:r w:rsidRPr="004F405B">
        <w:rPr>
          <w:rFonts w:ascii="標楷體" w:eastAsia="標楷體" w:hAnsi="標楷體" w:hint="eastAsia"/>
          <w:sz w:val="28"/>
        </w:rPr>
        <w:t>由大會防護員進行評估與操作，經裁判判決後，將選手送下場，並置場邊防護站與隨隊防護員進行交接</w:t>
      </w:r>
    </w:p>
    <w:p w14:paraId="649AE0E1" w14:textId="77777777" w:rsidR="0032716B" w:rsidRPr="004A4B7C" w:rsidRDefault="0032716B" w:rsidP="0032716B">
      <w:pPr>
        <w:pStyle w:val="a3"/>
        <w:widowControl/>
        <w:numPr>
          <w:ilvl w:val="3"/>
          <w:numId w:val="2"/>
        </w:numPr>
        <w:spacing w:line="500" w:lineRule="exact"/>
        <w:ind w:leftChars="0" w:rightChars="-59" w:right="-142"/>
        <w:rPr>
          <w:rFonts w:ascii="標楷體" w:eastAsia="標楷體" w:hAnsi="標楷體"/>
          <w:sz w:val="28"/>
        </w:rPr>
      </w:pPr>
      <w:r w:rsidRPr="004A4B7C">
        <w:rPr>
          <w:rFonts w:ascii="標楷體" w:eastAsia="標楷體" w:hAnsi="標楷體" w:hint="eastAsia"/>
          <w:sz w:val="28"/>
        </w:rPr>
        <w:t>若該隊伍中無隨隊運動防護員者：統一由大會運動防護員進行評估與處理，經裁判判決後，將選手送下場，並由大會運動防護員進行場下處理。</w:t>
      </w:r>
    </w:p>
    <w:p w14:paraId="24B200CA" w14:textId="77777777" w:rsidR="0032716B" w:rsidRPr="004A4B7C" w:rsidRDefault="0032716B" w:rsidP="0032716B">
      <w:pPr>
        <w:pStyle w:val="a3"/>
        <w:widowControl/>
        <w:numPr>
          <w:ilvl w:val="1"/>
          <w:numId w:val="2"/>
        </w:numPr>
        <w:spacing w:line="500" w:lineRule="exact"/>
        <w:ind w:leftChars="0" w:left="567" w:rightChars="-59" w:right="-142" w:hanging="357"/>
        <w:rPr>
          <w:rFonts w:ascii="標楷體" w:eastAsia="標楷體" w:hAnsi="標楷體"/>
          <w:sz w:val="28"/>
        </w:rPr>
      </w:pPr>
      <w:r w:rsidRPr="004A4B7C">
        <w:rPr>
          <w:rFonts w:ascii="標楷體" w:eastAsia="標楷體" w:hAnsi="標楷體" w:hint="eastAsia"/>
          <w:sz w:val="28"/>
        </w:rPr>
        <w:t>當現場觀眾受傷或發生緊急傷害時，將進行下列處理：</w:t>
      </w:r>
    </w:p>
    <w:p w14:paraId="5BD5122F" w14:textId="77777777" w:rsidR="0032716B" w:rsidRPr="004A4B7C" w:rsidRDefault="0032716B" w:rsidP="0032716B">
      <w:pPr>
        <w:pStyle w:val="a3"/>
        <w:widowControl/>
        <w:numPr>
          <w:ilvl w:val="3"/>
          <w:numId w:val="2"/>
        </w:numPr>
        <w:spacing w:line="500" w:lineRule="exact"/>
        <w:ind w:leftChars="0" w:rightChars="-59" w:right="-142"/>
        <w:rPr>
          <w:rFonts w:ascii="標楷體" w:eastAsia="標楷體" w:hAnsi="標楷體"/>
          <w:sz w:val="28"/>
        </w:rPr>
      </w:pPr>
      <w:r w:rsidRPr="004A4B7C">
        <w:rPr>
          <w:rFonts w:ascii="標楷體" w:eastAsia="標楷體" w:hAnsi="標楷體" w:hint="eastAsia"/>
          <w:sz w:val="28"/>
        </w:rPr>
        <w:t>由工作人員協助送至醫護站處理。</w:t>
      </w:r>
    </w:p>
    <w:p w14:paraId="182775E2" w14:textId="77777777" w:rsidR="0032716B" w:rsidRPr="004A4B7C" w:rsidRDefault="0032716B" w:rsidP="0032716B">
      <w:pPr>
        <w:pStyle w:val="a3"/>
        <w:widowControl/>
        <w:numPr>
          <w:ilvl w:val="3"/>
          <w:numId w:val="2"/>
        </w:numPr>
        <w:spacing w:line="500" w:lineRule="exact"/>
        <w:ind w:leftChars="0" w:rightChars="-59" w:right="-142"/>
        <w:rPr>
          <w:rFonts w:ascii="標楷體" w:eastAsia="標楷體" w:hAnsi="標楷體"/>
          <w:sz w:val="28"/>
        </w:rPr>
      </w:pPr>
      <w:r w:rsidRPr="004A4B7C">
        <w:rPr>
          <w:rFonts w:ascii="標楷體" w:eastAsia="標楷體" w:hAnsi="標楷體" w:hint="eastAsia"/>
          <w:sz w:val="28"/>
        </w:rPr>
        <w:t>由現場大會通報請大會醫護人員前往處理。</w:t>
      </w:r>
    </w:p>
    <w:p w14:paraId="3CE22CA7" w14:textId="77777777" w:rsidR="0032716B" w:rsidRPr="004A4B7C" w:rsidRDefault="0032716B" w:rsidP="0032716B">
      <w:pPr>
        <w:pStyle w:val="a3"/>
        <w:widowControl/>
        <w:numPr>
          <w:ilvl w:val="3"/>
          <w:numId w:val="2"/>
        </w:numPr>
        <w:spacing w:line="500" w:lineRule="exact"/>
        <w:ind w:leftChars="0" w:rightChars="-59" w:right="-142"/>
        <w:rPr>
          <w:rFonts w:ascii="標楷體" w:eastAsia="標楷體" w:hAnsi="標楷體"/>
          <w:sz w:val="28"/>
        </w:rPr>
      </w:pPr>
      <w:r w:rsidRPr="004A4B7C">
        <w:rPr>
          <w:rFonts w:ascii="標楷體" w:eastAsia="標楷體" w:hAnsi="標楷體" w:hint="eastAsia"/>
          <w:sz w:val="28"/>
        </w:rPr>
        <w:t>大會運動防護員於現場人力許可下，隨醫護人員前往處理。</w:t>
      </w:r>
    </w:p>
    <w:p w14:paraId="3E1A3862" w14:textId="77777777" w:rsidR="004A55B7" w:rsidRPr="004A55B7" w:rsidRDefault="004A55B7" w:rsidP="004A55B7">
      <w:pPr>
        <w:pStyle w:val="a3"/>
        <w:widowControl/>
        <w:numPr>
          <w:ilvl w:val="1"/>
          <w:numId w:val="2"/>
        </w:numPr>
        <w:spacing w:line="500" w:lineRule="exact"/>
        <w:ind w:leftChars="0" w:left="567" w:rightChars="-59" w:right="-142" w:hanging="357"/>
        <w:rPr>
          <w:rFonts w:ascii="標楷體" w:eastAsia="標楷體" w:hAnsi="標楷體"/>
          <w:sz w:val="28"/>
        </w:rPr>
      </w:pPr>
      <w:r w:rsidRPr="004A55B7">
        <w:rPr>
          <w:rFonts w:ascii="標楷體" w:eastAsia="標楷體" w:hAnsi="標楷體" w:hint="eastAsia"/>
          <w:sz w:val="28"/>
        </w:rPr>
        <w:t>經防護員評估，該選手/民眾若需尋求醫療協助時，統一轉由大會醫護組醫師進行評估與診斷，詳細記錄該選手之各項狀況後，依據該名選手之狀況執行以下事項：</w:t>
      </w:r>
    </w:p>
    <w:p w14:paraId="33305907" w14:textId="77777777" w:rsidR="0032716B" w:rsidRPr="004A4B7C" w:rsidRDefault="0032716B" w:rsidP="0032716B">
      <w:pPr>
        <w:pStyle w:val="a3"/>
        <w:widowControl/>
        <w:numPr>
          <w:ilvl w:val="3"/>
          <w:numId w:val="2"/>
        </w:numPr>
        <w:spacing w:line="500" w:lineRule="exact"/>
        <w:ind w:leftChars="0" w:rightChars="-59" w:right="-142"/>
        <w:rPr>
          <w:rFonts w:ascii="標楷體" w:eastAsia="標楷體" w:hAnsi="標楷體"/>
          <w:sz w:val="28"/>
        </w:rPr>
      </w:pPr>
      <w:r w:rsidRPr="004A4B7C">
        <w:rPr>
          <w:rFonts w:ascii="標楷體" w:eastAsia="標楷體" w:hAnsi="標楷體" w:hint="eastAsia"/>
          <w:sz w:val="28"/>
        </w:rPr>
        <w:t>有急迫危險需緊急送醫處理者，依醫師指示現場醫事人員或大會運動防護員進行以下處理：</w:t>
      </w:r>
    </w:p>
    <w:p w14:paraId="60D43F0D" w14:textId="77777777" w:rsidR="0032716B" w:rsidRPr="004A4B7C" w:rsidRDefault="0032716B" w:rsidP="0032716B">
      <w:pPr>
        <w:pStyle w:val="a3"/>
        <w:widowControl/>
        <w:numPr>
          <w:ilvl w:val="4"/>
          <w:numId w:val="2"/>
        </w:numPr>
        <w:spacing w:line="500" w:lineRule="exact"/>
        <w:ind w:leftChars="0" w:rightChars="-59" w:right="-142"/>
        <w:rPr>
          <w:rFonts w:ascii="標楷體" w:eastAsia="標楷體" w:hAnsi="標楷體"/>
          <w:sz w:val="28"/>
          <w:szCs w:val="28"/>
        </w:rPr>
      </w:pPr>
      <w:r w:rsidRPr="004A4B7C">
        <w:rPr>
          <w:rFonts w:ascii="標楷體" w:eastAsia="標楷體" w:hAnsi="標楷體" w:hint="eastAsia"/>
          <w:sz w:val="28"/>
        </w:rPr>
        <w:t>通知待命救護車將該名選手送至</w:t>
      </w:r>
      <w:r w:rsidRPr="004A4B7C">
        <w:rPr>
          <w:rFonts w:ascii="標楷體" w:eastAsia="標楷體" w:hAnsi="標楷體" w:hint="eastAsia"/>
          <w:sz w:val="28"/>
          <w:szCs w:val="28"/>
        </w:rPr>
        <w:t>各競賽場地地區緊急醫療責任醫院，大會防護員協助記錄隨車人員聯絡方式。</w:t>
      </w:r>
    </w:p>
    <w:p w14:paraId="4983C9F0" w14:textId="77777777" w:rsidR="0032716B" w:rsidRPr="004A4B7C" w:rsidRDefault="0032716B" w:rsidP="0032716B">
      <w:pPr>
        <w:pStyle w:val="a3"/>
        <w:widowControl/>
        <w:numPr>
          <w:ilvl w:val="4"/>
          <w:numId w:val="2"/>
        </w:numPr>
        <w:spacing w:line="500" w:lineRule="exact"/>
        <w:ind w:leftChars="0" w:rightChars="-59" w:right="-142"/>
        <w:rPr>
          <w:rFonts w:ascii="標楷體" w:eastAsia="標楷體" w:hAnsi="標楷體"/>
          <w:sz w:val="28"/>
        </w:rPr>
      </w:pPr>
      <w:r w:rsidRPr="004A4B7C">
        <w:rPr>
          <w:rFonts w:ascii="標楷體" w:eastAsia="標楷體" w:hAnsi="標楷體" w:hint="eastAsia"/>
          <w:sz w:val="28"/>
        </w:rPr>
        <w:t>大會運動防護員需通知大會運動防護技術委員、隨隊教練該選手之狀況，並協助彙整送醫紀錄與送醫人員狀況。</w:t>
      </w:r>
    </w:p>
    <w:p w14:paraId="5FE6CB76" w14:textId="77777777" w:rsidR="0032716B" w:rsidRPr="004A4B7C" w:rsidRDefault="0032716B" w:rsidP="0032716B">
      <w:pPr>
        <w:pStyle w:val="a3"/>
        <w:widowControl/>
        <w:numPr>
          <w:ilvl w:val="3"/>
          <w:numId w:val="2"/>
        </w:numPr>
        <w:spacing w:line="500" w:lineRule="exact"/>
        <w:ind w:leftChars="0" w:rightChars="-59" w:right="-142"/>
        <w:rPr>
          <w:rFonts w:ascii="標楷體" w:eastAsia="標楷體" w:hAnsi="標楷體"/>
          <w:sz w:val="28"/>
        </w:rPr>
      </w:pPr>
      <w:r w:rsidRPr="004A4B7C">
        <w:rPr>
          <w:rFonts w:ascii="標楷體" w:eastAsia="標楷體" w:hAnsi="標楷體" w:hint="eastAsia"/>
          <w:sz w:val="28"/>
        </w:rPr>
        <w:t>無急迫危險可現場處理者，將依照下列狀況進行分項處理：</w:t>
      </w:r>
    </w:p>
    <w:p w14:paraId="34184E73" w14:textId="77777777" w:rsidR="0032716B" w:rsidRPr="00D756C5" w:rsidRDefault="0032716B" w:rsidP="0032716B">
      <w:pPr>
        <w:pStyle w:val="a3"/>
        <w:widowControl/>
        <w:numPr>
          <w:ilvl w:val="4"/>
          <w:numId w:val="2"/>
        </w:numPr>
        <w:spacing w:line="500" w:lineRule="exact"/>
        <w:ind w:leftChars="0" w:rightChars="-59" w:right="-142"/>
        <w:rPr>
          <w:rFonts w:ascii="標楷體" w:eastAsia="標楷體" w:hAnsi="標楷體"/>
          <w:b/>
          <w:sz w:val="28"/>
        </w:rPr>
      </w:pPr>
      <w:r w:rsidRPr="00D756C5">
        <w:rPr>
          <w:rFonts w:ascii="標楷體" w:eastAsia="標楷體" w:hAnsi="標楷體" w:hint="eastAsia"/>
          <w:b/>
          <w:sz w:val="28"/>
        </w:rPr>
        <w:t>外傷清創包紮：由大會護理師執行。</w:t>
      </w:r>
    </w:p>
    <w:p w14:paraId="238670CA" w14:textId="77777777" w:rsidR="0032716B" w:rsidRPr="00D756C5" w:rsidRDefault="0032716B" w:rsidP="0032716B">
      <w:pPr>
        <w:pStyle w:val="a3"/>
        <w:widowControl/>
        <w:numPr>
          <w:ilvl w:val="4"/>
          <w:numId w:val="2"/>
        </w:numPr>
        <w:spacing w:line="500" w:lineRule="exact"/>
        <w:ind w:leftChars="0" w:rightChars="-59" w:right="-142"/>
        <w:rPr>
          <w:rFonts w:ascii="標楷體" w:eastAsia="標楷體" w:hAnsi="標楷體"/>
          <w:b/>
          <w:sz w:val="28"/>
        </w:rPr>
      </w:pPr>
      <w:r w:rsidRPr="00D756C5">
        <w:rPr>
          <w:rFonts w:ascii="標楷體" w:eastAsia="標楷體" w:hAnsi="標楷體" w:hint="eastAsia"/>
          <w:b/>
          <w:sz w:val="28"/>
        </w:rPr>
        <w:lastRenderedPageBreak/>
        <w:t>運動防護處理：由運動防護員執行。</w:t>
      </w:r>
    </w:p>
    <w:p w14:paraId="77A1B525" w14:textId="77777777" w:rsidR="0032716B" w:rsidRPr="00022650" w:rsidRDefault="0032716B" w:rsidP="0032716B">
      <w:pPr>
        <w:pStyle w:val="a3"/>
        <w:widowControl/>
        <w:spacing w:line="500" w:lineRule="exact"/>
        <w:ind w:leftChars="0" w:left="567" w:rightChars="-59" w:right="-142"/>
        <w:rPr>
          <w:rFonts w:ascii="標楷體" w:eastAsia="標楷體" w:hAnsi="標楷體"/>
          <w:b/>
          <w:color w:val="FF0000"/>
          <w:sz w:val="28"/>
        </w:rPr>
      </w:pPr>
    </w:p>
    <w:p w14:paraId="11AF3C63" w14:textId="77777777" w:rsidR="0032716B" w:rsidRPr="004A4B7C" w:rsidRDefault="0032716B" w:rsidP="0032716B">
      <w:pPr>
        <w:pStyle w:val="a3"/>
        <w:widowControl/>
        <w:numPr>
          <w:ilvl w:val="0"/>
          <w:numId w:val="2"/>
        </w:numPr>
        <w:ind w:leftChars="0" w:left="567" w:rightChars="-59" w:right="-142"/>
        <w:rPr>
          <w:rFonts w:ascii="標楷體" w:eastAsia="標楷體" w:hAnsi="標楷體"/>
          <w:sz w:val="28"/>
        </w:rPr>
      </w:pPr>
      <w:r w:rsidRPr="00D756C5">
        <w:rPr>
          <w:rFonts w:ascii="標楷體" w:eastAsia="標楷體" w:hAnsi="標楷體" w:hint="eastAsia"/>
          <w:sz w:val="28"/>
        </w:rPr>
        <w:t>特殊項目運動防護規範</w:t>
      </w:r>
      <w:r w:rsidRPr="004A4B7C">
        <w:rPr>
          <w:rFonts w:ascii="標楷體" w:eastAsia="標楷體" w:hAnsi="標楷體" w:hint="eastAsia"/>
          <w:sz w:val="28"/>
        </w:rPr>
        <w:t>：</w:t>
      </w:r>
    </w:p>
    <w:p w14:paraId="0AAC63D5" w14:textId="77777777" w:rsidR="0032716B" w:rsidRPr="00D756C5" w:rsidRDefault="0032716B" w:rsidP="0032716B">
      <w:pPr>
        <w:pStyle w:val="a3"/>
        <w:widowControl/>
        <w:numPr>
          <w:ilvl w:val="1"/>
          <w:numId w:val="2"/>
        </w:numPr>
        <w:spacing w:line="500" w:lineRule="exact"/>
        <w:ind w:leftChars="0" w:left="567" w:rightChars="-59" w:right="-142"/>
        <w:rPr>
          <w:rFonts w:ascii="標楷體" w:eastAsia="標楷體" w:hAnsi="標楷體"/>
          <w:b/>
          <w:sz w:val="28"/>
        </w:rPr>
      </w:pPr>
      <w:r w:rsidRPr="00D756C5">
        <w:rPr>
          <w:rFonts w:ascii="標楷體" w:eastAsia="標楷體" w:hAnsi="標楷體" w:hint="eastAsia"/>
          <w:b/>
          <w:sz w:val="28"/>
        </w:rPr>
        <w:t>空手道、拳擊、跆拳道、柔道、角力等項目統一由大會醫師進場評估，大會醫護人員與大會運動防護員從旁協助，其餘人員不得進入比賽場地。</w:t>
      </w:r>
    </w:p>
    <w:p w14:paraId="127E88E5" w14:textId="77777777" w:rsidR="0032716B" w:rsidRPr="00D756C5" w:rsidRDefault="0032716B" w:rsidP="0032716B">
      <w:pPr>
        <w:pStyle w:val="a3"/>
        <w:widowControl/>
        <w:numPr>
          <w:ilvl w:val="1"/>
          <w:numId w:val="2"/>
        </w:numPr>
        <w:spacing w:line="500" w:lineRule="exact"/>
        <w:ind w:leftChars="0" w:left="567" w:rightChars="-59" w:right="-142"/>
        <w:rPr>
          <w:rFonts w:ascii="標楷體" w:eastAsia="標楷體" w:hAnsi="標楷體"/>
          <w:sz w:val="28"/>
        </w:rPr>
      </w:pPr>
      <w:r w:rsidRPr="00D756C5">
        <w:rPr>
          <w:rFonts w:ascii="標楷體" w:eastAsia="標楷體" w:hAnsi="標楷體" w:hint="eastAsia"/>
          <w:sz w:val="28"/>
        </w:rPr>
        <w:t>田徑比賽項目將依據下列狀況執行運動防護工作：(詳如圖一)</w:t>
      </w:r>
    </w:p>
    <w:p w14:paraId="1B567A9B" w14:textId="77777777" w:rsidR="0032716B" w:rsidRPr="000C7382" w:rsidRDefault="0032716B" w:rsidP="0032716B">
      <w:pPr>
        <w:pStyle w:val="a3"/>
        <w:widowControl/>
        <w:numPr>
          <w:ilvl w:val="0"/>
          <w:numId w:val="3"/>
        </w:numPr>
        <w:spacing w:line="400" w:lineRule="exact"/>
        <w:ind w:leftChars="0" w:rightChars="-59" w:right="-1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比賽場內定義：以田徑場內</w:t>
      </w:r>
      <w:r w:rsidRPr="000C7382">
        <w:rPr>
          <w:rFonts w:ascii="標楷體" w:eastAsia="標楷體" w:hAnsi="標楷體" w:hint="eastAsia"/>
          <w:sz w:val="28"/>
        </w:rPr>
        <w:t>第八跑道邊線</w:t>
      </w:r>
      <w:r>
        <w:rPr>
          <w:rFonts w:ascii="標楷體" w:eastAsia="標楷體" w:hAnsi="標楷體" w:hint="eastAsia"/>
          <w:sz w:val="28"/>
        </w:rPr>
        <w:t>以內為</w:t>
      </w:r>
      <w:r w:rsidRPr="000C7382">
        <w:rPr>
          <w:rFonts w:ascii="標楷體" w:eastAsia="標楷體" w:hAnsi="標楷體" w:hint="eastAsia"/>
          <w:sz w:val="28"/>
        </w:rPr>
        <w:t>場內，以外統一為場外。</w:t>
      </w:r>
    </w:p>
    <w:p w14:paraId="5FAA55BD" w14:textId="77777777" w:rsidR="0032716B" w:rsidRDefault="0032716B" w:rsidP="0032716B">
      <w:pPr>
        <w:pStyle w:val="a3"/>
        <w:widowControl/>
        <w:numPr>
          <w:ilvl w:val="0"/>
          <w:numId w:val="3"/>
        </w:numPr>
        <w:spacing w:line="400" w:lineRule="exact"/>
        <w:ind w:leftChars="0" w:rightChars="-59" w:right="-142"/>
        <w:rPr>
          <w:rFonts w:ascii="標楷體" w:eastAsia="標楷體" w:hAnsi="標楷體"/>
          <w:sz w:val="28"/>
        </w:rPr>
      </w:pPr>
      <w:r w:rsidRPr="000C7382">
        <w:rPr>
          <w:rFonts w:ascii="標楷體" w:eastAsia="標楷體" w:hAnsi="標楷體" w:hint="eastAsia"/>
          <w:sz w:val="28"/>
        </w:rPr>
        <w:t>運動防護處理：</w:t>
      </w:r>
    </w:p>
    <w:p w14:paraId="24A80DCD" w14:textId="77777777" w:rsidR="0032716B" w:rsidRDefault="0032716B" w:rsidP="0032716B">
      <w:pPr>
        <w:pStyle w:val="a3"/>
        <w:widowControl/>
        <w:numPr>
          <w:ilvl w:val="1"/>
          <w:numId w:val="3"/>
        </w:numPr>
        <w:spacing w:line="400" w:lineRule="exact"/>
        <w:ind w:leftChars="0" w:rightChars="-59" w:right="-1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比賽場內統一由大會運動防護員執行</w:t>
      </w:r>
    </w:p>
    <w:p w14:paraId="5E2638A7" w14:textId="77777777" w:rsidR="0032716B" w:rsidRPr="00BF7F14" w:rsidRDefault="0032716B" w:rsidP="0032716B">
      <w:pPr>
        <w:pStyle w:val="a3"/>
        <w:widowControl/>
        <w:numPr>
          <w:ilvl w:val="1"/>
          <w:numId w:val="3"/>
        </w:numPr>
        <w:spacing w:line="400" w:lineRule="exact"/>
        <w:ind w:leftChars="0" w:rightChars="-59" w:right="-14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1659264" behindDoc="0" locked="0" layoutInCell="1" allowOverlap="1" wp14:anchorId="78034DE9" wp14:editId="31D0DCE1">
            <wp:simplePos x="0" y="0"/>
            <wp:positionH relativeFrom="column">
              <wp:posOffset>-121920</wp:posOffset>
            </wp:positionH>
            <wp:positionV relativeFrom="paragraph">
              <wp:posOffset>414020</wp:posOffset>
            </wp:positionV>
            <wp:extent cx="6645910" cy="4606290"/>
            <wp:effectExtent l="0" t="0" r="2540" b="381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__397313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0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7F14">
        <w:rPr>
          <w:rFonts w:ascii="標楷體" w:eastAsia="標楷體" w:hAnsi="標楷體" w:hint="eastAsia"/>
          <w:sz w:val="28"/>
        </w:rPr>
        <w:t>隨隊防護員或署聘運動防護員可於比賽場地外進行處理。</w:t>
      </w:r>
    </w:p>
    <w:p w14:paraId="7B584DEF" w14:textId="77777777" w:rsidR="0032716B" w:rsidRPr="004A4B7C" w:rsidRDefault="0032716B" w:rsidP="0032716B">
      <w:pPr>
        <w:widowControl/>
        <w:ind w:left="567" w:rightChars="-59" w:right="-142"/>
        <w:jc w:val="center"/>
        <w:rPr>
          <w:rFonts w:ascii="標楷體" w:eastAsia="標楷體" w:hAnsi="標楷體"/>
          <w:sz w:val="28"/>
        </w:rPr>
      </w:pPr>
    </w:p>
    <w:p w14:paraId="05B2BFEA" w14:textId="77777777" w:rsidR="0032716B" w:rsidRDefault="0032716B" w:rsidP="0032716B">
      <w:pPr>
        <w:pStyle w:val="a3"/>
        <w:widowControl/>
        <w:spacing w:line="400" w:lineRule="exact"/>
        <w:ind w:leftChars="0" w:left="720" w:rightChars="-59" w:right="-142"/>
        <w:jc w:val="center"/>
        <w:rPr>
          <w:rFonts w:ascii="標楷體" w:eastAsia="標楷體" w:hAnsi="標楷體"/>
        </w:rPr>
      </w:pPr>
      <w:r w:rsidRPr="00D617F4">
        <w:rPr>
          <w:rFonts w:ascii="標楷體" w:eastAsia="標楷體" w:hAnsi="標楷體" w:hint="eastAsia"/>
        </w:rPr>
        <w:t>▲圖一：比賽區域定義：紅色區域內皆為比賽場內區域，以外皆為場外區域。</w:t>
      </w:r>
    </w:p>
    <w:p w14:paraId="357931AD" w14:textId="77777777" w:rsidR="0032716B" w:rsidRDefault="0032716B" w:rsidP="0032716B">
      <w:pPr>
        <w:widowControl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14:paraId="05738022" w14:textId="77777777" w:rsidR="0032716B" w:rsidRPr="005B3481" w:rsidRDefault="0032716B" w:rsidP="0032716B">
      <w:pPr>
        <w:pStyle w:val="a3"/>
        <w:widowControl/>
        <w:numPr>
          <w:ilvl w:val="1"/>
          <w:numId w:val="2"/>
        </w:numPr>
        <w:spacing w:line="400" w:lineRule="exact"/>
        <w:ind w:leftChars="0" w:rightChars="-59" w:right="-142"/>
        <w:rPr>
          <w:rFonts w:ascii="標楷體" w:eastAsia="標楷體" w:hAnsi="標楷體"/>
          <w:sz w:val="28"/>
        </w:rPr>
      </w:pPr>
      <w:r w:rsidRPr="005B3481">
        <w:rPr>
          <w:rFonts w:ascii="標楷體" w:eastAsia="標楷體" w:hAnsi="標楷體" w:hint="eastAsia"/>
          <w:sz w:val="28"/>
        </w:rPr>
        <w:lastRenderedPageBreak/>
        <w:t>競技體操項目將依據下列狀況執行運動防護工作：(詳如圖二)</w:t>
      </w:r>
    </w:p>
    <w:p w14:paraId="3B075A5D" w14:textId="77777777" w:rsidR="0032716B" w:rsidRPr="00D756C5" w:rsidRDefault="0032716B" w:rsidP="0032716B">
      <w:pPr>
        <w:pStyle w:val="a3"/>
        <w:widowControl/>
        <w:numPr>
          <w:ilvl w:val="2"/>
          <w:numId w:val="2"/>
        </w:numPr>
        <w:spacing w:line="400" w:lineRule="exact"/>
        <w:ind w:leftChars="0" w:left="567" w:rightChars="-59" w:right="-1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比賽場內外之定義：以</w:t>
      </w:r>
      <w:r w:rsidRPr="00D756C5">
        <w:rPr>
          <w:rFonts w:ascii="標楷體" w:eastAsia="標楷體" w:hAnsi="標楷體" w:hint="eastAsia"/>
          <w:b/>
          <w:sz w:val="28"/>
        </w:rPr>
        <w:t>比賽地墊區域內</w:t>
      </w:r>
      <w:r w:rsidRPr="00D756C5">
        <w:rPr>
          <w:rFonts w:ascii="標楷體" w:eastAsia="標楷體" w:hAnsi="標楷體" w:hint="eastAsia"/>
          <w:sz w:val="28"/>
        </w:rPr>
        <w:t>視為場內，以外統一為場外。</w:t>
      </w:r>
    </w:p>
    <w:p w14:paraId="24227C9A" w14:textId="77777777" w:rsidR="0032716B" w:rsidRPr="00D756C5" w:rsidRDefault="0032716B" w:rsidP="0032716B">
      <w:pPr>
        <w:pStyle w:val="a3"/>
        <w:widowControl/>
        <w:numPr>
          <w:ilvl w:val="2"/>
          <w:numId w:val="2"/>
        </w:numPr>
        <w:spacing w:line="400" w:lineRule="exact"/>
        <w:ind w:leftChars="0" w:left="567" w:rightChars="-59" w:right="-142"/>
        <w:rPr>
          <w:rFonts w:ascii="標楷體" w:eastAsia="標楷體" w:hAnsi="標楷體"/>
          <w:sz w:val="28"/>
        </w:rPr>
      </w:pPr>
      <w:r w:rsidRPr="00D756C5">
        <w:rPr>
          <w:rFonts w:ascii="標楷體" w:eastAsia="標楷體" w:hAnsi="標楷體" w:hint="eastAsia"/>
          <w:sz w:val="28"/>
        </w:rPr>
        <w:t>運動防護處理：</w:t>
      </w:r>
    </w:p>
    <w:p w14:paraId="5A12D91D" w14:textId="77777777" w:rsidR="0032716B" w:rsidRPr="00D756C5" w:rsidRDefault="0032716B" w:rsidP="0032716B">
      <w:pPr>
        <w:pStyle w:val="a3"/>
        <w:widowControl/>
        <w:numPr>
          <w:ilvl w:val="3"/>
          <w:numId w:val="2"/>
        </w:numPr>
        <w:spacing w:line="400" w:lineRule="exact"/>
        <w:ind w:leftChars="0" w:left="567" w:rightChars="-59" w:right="-142"/>
        <w:rPr>
          <w:rFonts w:ascii="標楷體" w:eastAsia="標楷體" w:hAnsi="標楷體"/>
          <w:sz w:val="28"/>
        </w:rPr>
      </w:pPr>
      <w:r w:rsidRPr="00D756C5">
        <w:rPr>
          <w:rFonts w:ascii="標楷體" w:eastAsia="標楷體" w:hAnsi="標楷體" w:hint="eastAsia"/>
          <w:sz w:val="28"/>
        </w:rPr>
        <w:t>比賽場地內：統一由大會運動防護員執行。</w:t>
      </w:r>
    </w:p>
    <w:p w14:paraId="20201E14" w14:textId="77777777" w:rsidR="0032716B" w:rsidRPr="00D456C2" w:rsidRDefault="0032716B" w:rsidP="0032716B">
      <w:pPr>
        <w:pStyle w:val="a3"/>
        <w:widowControl/>
        <w:numPr>
          <w:ilvl w:val="3"/>
          <w:numId w:val="2"/>
        </w:numPr>
        <w:spacing w:line="400" w:lineRule="exact"/>
        <w:ind w:leftChars="0" w:left="567" w:rightChars="-59" w:right="-142"/>
        <w:rPr>
          <w:rFonts w:ascii="標楷體" w:eastAsia="標楷體" w:hAnsi="標楷體"/>
          <w:sz w:val="28"/>
        </w:rPr>
      </w:pPr>
      <w:r w:rsidRPr="00D756C5">
        <w:rPr>
          <w:rFonts w:ascii="標楷體" w:eastAsia="標楷體" w:hAnsi="標楷體" w:hint="eastAsia"/>
          <w:sz w:val="28"/>
        </w:rPr>
        <w:t>比賽場地外：若該選手比賽項目為</w:t>
      </w:r>
      <w:r w:rsidRPr="00D756C5">
        <w:rPr>
          <w:rFonts w:ascii="標楷體" w:eastAsia="標楷體" w:hAnsi="標楷體" w:hint="eastAsia"/>
          <w:b/>
          <w:sz w:val="28"/>
        </w:rPr>
        <w:t>全能競賽或團體競賽者</w:t>
      </w:r>
      <w:r w:rsidRPr="00D456C2">
        <w:rPr>
          <w:rFonts w:ascii="標楷體" w:eastAsia="標楷體" w:hAnsi="標楷體" w:hint="eastAsia"/>
          <w:sz w:val="28"/>
        </w:rPr>
        <w:t>，隨隊防護員或署聘運動防護員可於比賽場外進行處理，不必帶回休息區處理。</w:t>
      </w:r>
    </w:p>
    <w:p w14:paraId="0B2EB85D" w14:textId="31C3926D" w:rsidR="0032716B" w:rsidRPr="004A55B7" w:rsidRDefault="004A55B7" w:rsidP="0032716B">
      <w:pPr>
        <w:widowControl/>
        <w:ind w:rightChars="-59" w:right="-142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drawing>
          <wp:inline distT="0" distB="0" distL="0" distR="0" wp14:anchorId="36D521FC" wp14:editId="298597D7">
            <wp:extent cx="3419475" cy="4686300"/>
            <wp:effectExtent l="0" t="0" r="9525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D230E" w14:textId="5DA393CF" w:rsidR="00F05734" w:rsidRDefault="0032716B" w:rsidP="0032716B">
      <w:r w:rsidRPr="004A4B7C">
        <w:rPr>
          <w:rFonts w:ascii="標楷體" w:eastAsia="標楷體" w:hAnsi="標楷體" w:hint="eastAsia"/>
          <w:sz w:val="28"/>
        </w:rPr>
        <w:t>▲</w:t>
      </w:r>
      <w:r w:rsidRPr="00D617F4">
        <w:rPr>
          <w:rFonts w:ascii="標楷體" w:eastAsia="標楷體" w:hAnsi="標楷體" w:hint="eastAsia"/>
          <w:sz w:val="28"/>
        </w:rPr>
        <w:t>圖二：比賽區域：紅色區域為比賽場地內</w:t>
      </w:r>
      <w:r w:rsidR="004A55B7">
        <w:rPr>
          <w:rFonts w:ascii="標楷體" w:eastAsia="標楷體" w:hAnsi="標楷體" w:hint="eastAsia"/>
          <w:sz w:val="28"/>
        </w:rPr>
        <w:t>，其餘</w:t>
      </w:r>
      <w:r w:rsidRPr="00D617F4">
        <w:rPr>
          <w:rFonts w:ascii="標楷體" w:eastAsia="標楷體" w:hAnsi="標楷體" w:hint="eastAsia"/>
          <w:sz w:val="28"/>
        </w:rPr>
        <w:t>皆為場外區域。</w:t>
      </w:r>
    </w:p>
    <w:sectPr w:rsidR="00F05734" w:rsidSect="003271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CFC0D" w14:textId="77777777" w:rsidR="00220E4A" w:rsidRDefault="00220E4A">
      <w:r>
        <w:separator/>
      </w:r>
    </w:p>
  </w:endnote>
  <w:endnote w:type="continuationSeparator" w:id="0">
    <w:p w14:paraId="7121F046" w14:textId="77777777" w:rsidR="00220E4A" w:rsidRDefault="0022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4422496"/>
      <w:docPartObj>
        <w:docPartGallery w:val="Page Numbers (Bottom of Page)"/>
        <w:docPartUnique/>
      </w:docPartObj>
    </w:sdtPr>
    <w:sdtEndPr/>
    <w:sdtContent>
      <w:p w14:paraId="22F1E7C4" w14:textId="77777777" w:rsidR="00E47386" w:rsidRDefault="0032716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F3AA2">
          <w:rPr>
            <w:noProof/>
            <w:lang w:val="zh-TW"/>
          </w:rPr>
          <w:t>10</w:t>
        </w:r>
        <w:r>
          <w:fldChar w:fldCharType="end"/>
        </w:r>
      </w:p>
    </w:sdtContent>
  </w:sdt>
  <w:p w14:paraId="355504F3" w14:textId="77777777" w:rsidR="00E47386" w:rsidRDefault="00220E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1A633" w14:textId="77777777" w:rsidR="00220E4A" w:rsidRDefault="00220E4A">
      <w:r>
        <w:separator/>
      </w:r>
    </w:p>
  </w:footnote>
  <w:footnote w:type="continuationSeparator" w:id="0">
    <w:p w14:paraId="5BCC4C5B" w14:textId="77777777" w:rsidR="00220E4A" w:rsidRDefault="00220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06598"/>
    <w:multiLevelType w:val="hybridMultilevel"/>
    <w:tmpl w:val="B74688D2"/>
    <w:lvl w:ilvl="0" w:tplc="288E22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21ED96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949248EE">
      <w:start w:val="1"/>
      <w:numFmt w:val="decimal"/>
      <w:lvlText w:val="%3)"/>
      <w:lvlJc w:val="left"/>
      <w:pPr>
        <w:ind w:left="1320" w:hanging="360"/>
      </w:pPr>
      <w:rPr>
        <w:rFonts w:hint="eastAsia"/>
      </w:rPr>
    </w:lvl>
    <w:lvl w:ilvl="3" w:tplc="16643BB6">
      <w:start w:val="1"/>
      <w:numFmt w:val="upperLetter"/>
      <w:lvlText w:val="%4."/>
      <w:lvlJc w:val="left"/>
      <w:pPr>
        <w:ind w:left="876" w:hanging="450"/>
      </w:pPr>
      <w:rPr>
        <w:rFonts w:hint="default"/>
        <w:b w:val="0"/>
        <w:color w:val="auto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247794"/>
    <w:multiLevelType w:val="hybridMultilevel"/>
    <w:tmpl w:val="B07E6B7E"/>
    <w:lvl w:ilvl="0" w:tplc="370C10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123466"/>
    <w:multiLevelType w:val="hybridMultilevel"/>
    <w:tmpl w:val="F0C684BE"/>
    <w:lvl w:ilvl="0" w:tplc="04090011">
      <w:start w:val="1"/>
      <w:numFmt w:val="upperLetter"/>
      <w:lvlText w:val="%1."/>
      <w:lvlJc w:val="left"/>
      <w:pPr>
        <w:ind w:left="1043" w:hanging="480"/>
      </w:pPr>
    </w:lvl>
    <w:lvl w:ilvl="1" w:tplc="04090019">
      <w:start w:val="1"/>
      <w:numFmt w:val="ideographTraditional"/>
      <w:lvlText w:val="%2、"/>
      <w:lvlJc w:val="left"/>
      <w:pPr>
        <w:ind w:left="1523" w:hanging="480"/>
      </w:pPr>
    </w:lvl>
    <w:lvl w:ilvl="2" w:tplc="0409001B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6B"/>
    <w:rsid w:val="00220E4A"/>
    <w:rsid w:val="0032716B"/>
    <w:rsid w:val="004A55B7"/>
    <w:rsid w:val="00F0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6FE22"/>
  <w15:chartTrackingRefBased/>
  <w15:docId w15:val="{05EDC58C-7CA6-49A3-A148-9D8DC6F9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1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32716B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Title"/>
    <w:basedOn w:val="a"/>
    <w:next w:val="a"/>
    <w:link w:val="a6"/>
    <w:uiPriority w:val="10"/>
    <w:qFormat/>
    <w:rsid w:val="0032716B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32716B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327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716B"/>
    <w:rPr>
      <w:sz w:val="20"/>
      <w:szCs w:val="20"/>
    </w:rPr>
  </w:style>
  <w:style w:type="character" w:customStyle="1" w:styleId="a4">
    <w:name w:val="清單段落 字元"/>
    <w:link w:val="a3"/>
    <w:uiPriority w:val="34"/>
    <w:rsid w:val="0032716B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__1.vsdx"/><Relationship Id="rId13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package" Target="embeddings/Microsoft_Visio___2.vsd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訓豪 張</dc:creator>
  <cp:keywords/>
  <dc:description/>
  <cp:lastModifiedBy>訓豪 張</cp:lastModifiedBy>
  <cp:revision>3</cp:revision>
  <dcterms:created xsi:type="dcterms:W3CDTF">2021-01-19T04:55:00Z</dcterms:created>
  <dcterms:modified xsi:type="dcterms:W3CDTF">2021-04-10T03:11:00Z</dcterms:modified>
</cp:coreProperties>
</file>